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1B1D" w:rsidRPr="006C7DD3" w:rsidRDefault="00671B1D" w:rsidP="00671B1D">
      <w:pPr>
        <w:adjustRightInd w:val="0"/>
        <w:snapToGrid w:val="0"/>
        <w:spacing w:line="360" w:lineRule="auto"/>
        <w:rPr>
          <w:rFonts w:eastAsiaTheme="minorEastAsia"/>
          <w:b/>
          <w:bCs/>
          <w:kern w:val="0"/>
          <w:sz w:val="24"/>
        </w:rPr>
      </w:pPr>
      <w:r w:rsidRPr="006C7DD3">
        <w:rPr>
          <w:rFonts w:eastAsiaTheme="minorEastAsia"/>
          <w:b/>
          <w:bCs/>
          <w:kern w:val="0"/>
          <w:sz w:val="24"/>
        </w:rPr>
        <w:t>附件</w:t>
      </w:r>
      <w:r w:rsidRPr="006C7DD3">
        <w:rPr>
          <w:rFonts w:eastAsiaTheme="minorEastAsia"/>
          <w:b/>
          <w:bCs/>
          <w:kern w:val="0"/>
          <w:sz w:val="24"/>
        </w:rPr>
        <w:t>2</w:t>
      </w:r>
      <w:r w:rsidRPr="006C7DD3">
        <w:rPr>
          <w:rFonts w:eastAsiaTheme="minorEastAsia"/>
          <w:b/>
          <w:bCs/>
          <w:kern w:val="0"/>
          <w:sz w:val="24"/>
        </w:rPr>
        <w:t>：（</w:t>
      </w:r>
      <w:r w:rsidRPr="006C7DD3">
        <w:rPr>
          <w:rFonts w:eastAsiaTheme="minorEastAsia"/>
          <w:b/>
          <w:bCs/>
          <w:kern w:val="0"/>
          <w:sz w:val="24"/>
        </w:rPr>
        <w:t>1</w:t>
      </w:r>
      <w:r w:rsidRPr="006C7DD3">
        <w:rPr>
          <w:rFonts w:eastAsiaTheme="minorEastAsia"/>
          <w:b/>
          <w:bCs/>
          <w:kern w:val="0"/>
          <w:sz w:val="24"/>
        </w:rPr>
        <w:t>）中文摘要模板参考</w:t>
      </w:r>
      <w:r w:rsidRPr="006C7DD3">
        <w:rPr>
          <w:rFonts w:eastAsiaTheme="minorEastAsia"/>
          <w:b/>
          <w:bCs/>
          <w:kern w:val="0"/>
          <w:sz w:val="24"/>
        </w:rPr>
        <w:t>(</w:t>
      </w:r>
      <w:r w:rsidRPr="006C7DD3">
        <w:rPr>
          <w:rFonts w:eastAsiaTheme="minorEastAsia"/>
          <w:b/>
          <w:bCs/>
          <w:kern w:val="0"/>
          <w:sz w:val="24"/>
        </w:rPr>
        <w:t>注：每份摘要务必控制在一个页面以内</w:t>
      </w:r>
      <w:r w:rsidRPr="006C7DD3">
        <w:rPr>
          <w:rFonts w:eastAsiaTheme="minorEastAsia"/>
          <w:b/>
          <w:bCs/>
          <w:kern w:val="0"/>
          <w:sz w:val="24"/>
        </w:rPr>
        <w:t>)</w:t>
      </w:r>
    </w:p>
    <w:p w:rsidR="00671B1D" w:rsidRPr="006C7DD3" w:rsidRDefault="00671B1D" w:rsidP="00671B1D">
      <w:pPr>
        <w:adjustRightInd w:val="0"/>
        <w:snapToGrid w:val="0"/>
        <w:spacing w:line="360" w:lineRule="auto"/>
        <w:rPr>
          <w:rFonts w:eastAsiaTheme="minorEastAsia"/>
          <w:bCs/>
          <w:kern w:val="0"/>
          <w:sz w:val="24"/>
        </w:rPr>
      </w:pPr>
      <w:r w:rsidRPr="006C7DD3">
        <w:rPr>
          <w:rFonts w:eastAsiaTheme="minorEastAsia"/>
          <w:b/>
          <w:bCs/>
          <w:kern w:val="0"/>
          <w:sz w:val="24"/>
        </w:rPr>
        <w:t xml:space="preserve">        </w:t>
      </w:r>
      <w:r w:rsidRPr="006C7DD3">
        <w:rPr>
          <w:rFonts w:eastAsiaTheme="minorEastAsia"/>
          <w:b/>
          <w:bCs/>
          <w:kern w:val="0"/>
          <w:sz w:val="24"/>
        </w:rPr>
        <w:t>（</w:t>
      </w:r>
      <w:r w:rsidRPr="006C7DD3">
        <w:rPr>
          <w:rFonts w:eastAsiaTheme="minorEastAsia"/>
          <w:b/>
          <w:bCs/>
          <w:kern w:val="0"/>
          <w:sz w:val="24"/>
        </w:rPr>
        <w:t>2</w:t>
      </w:r>
      <w:r w:rsidRPr="006C7DD3">
        <w:rPr>
          <w:rFonts w:eastAsiaTheme="minorEastAsia"/>
          <w:b/>
          <w:bCs/>
          <w:kern w:val="0"/>
          <w:sz w:val="24"/>
        </w:rPr>
        <w:t>）英文摘要模板参考</w:t>
      </w:r>
      <w:r w:rsidRPr="006C7DD3">
        <w:rPr>
          <w:rFonts w:eastAsiaTheme="minorEastAsia"/>
          <w:b/>
          <w:bCs/>
          <w:kern w:val="0"/>
          <w:sz w:val="24"/>
        </w:rPr>
        <w:t>(</w:t>
      </w:r>
      <w:r w:rsidRPr="006C7DD3">
        <w:rPr>
          <w:rFonts w:eastAsiaTheme="minorEastAsia"/>
          <w:b/>
          <w:bCs/>
          <w:kern w:val="0"/>
          <w:sz w:val="24"/>
        </w:rPr>
        <w:t>注：每份摘要务必控制在一个页面以内</w:t>
      </w:r>
      <w:r w:rsidRPr="006C7DD3">
        <w:rPr>
          <w:rFonts w:eastAsiaTheme="minorEastAsia"/>
          <w:b/>
          <w:bCs/>
          <w:kern w:val="0"/>
          <w:sz w:val="24"/>
        </w:rPr>
        <w:t>)</w:t>
      </w:r>
    </w:p>
    <w:p w:rsidR="00671B1D" w:rsidRPr="006C7DD3" w:rsidRDefault="00671B1D" w:rsidP="00671B1D">
      <w:pPr>
        <w:autoSpaceDE w:val="0"/>
        <w:autoSpaceDN w:val="0"/>
        <w:adjustRightInd w:val="0"/>
        <w:spacing w:line="360" w:lineRule="auto"/>
        <w:rPr>
          <w:rFonts w:eastAsia="仿宋_GB2312"/>
          <w:b/>
          <w:bCs/>
          <w:kern w:val="0"/>
          <w:sz w:val="28"/>
          <w:szCs w:val="28"/>
        </w:rPr>
      </w:pPr>
      <w:r w:rsidRPr="006C7DD3">
        <w:rPr>
          <w:rFonts w:eastAsia="仿宋_GB2312"/>
          <w:bCs/>
          <w:kern w:val="0"/>
        </w:rPr>
        <w:br w:type="page"/>
      </w:r>
    </w:p>
    <w:p w:rsidR="00671B1D" w:rsidRPr="006C7DD3" w:rsidRDefault="00671B1D" w:rsidP="00671B1D">
      <w:pPr>
        <w:autoSpaceDE w:val="0"/>
        <w:autoSpaceDN w:val="0"/>
        <w:adjustRightInd w:val="0"/>
        <w:spacing w:line="360" w:lineRule="auto"/>
        <w:jc w:val="center"/>
        <w:rPr>
          <w:b/>
          <w:sz w:val="28"/>
          <w:szCs w:val="28"/>
        </w:rPr>
      </w:pPr>
      <w:r w:rsidRPr="006C7DD3">
        <w:rPr>
          <w:b/>
          <w:sz w:val="28"/>
          <w:szCs w:val="28"/>
        </w:rPr>
        <w:lastRenderedPageBreak/>
        <w:t>南极磷虾</w:t>
      </w:r>
      <w:proofErr w:type="gramStart"/>
      <w:r w:rsidRPr="006C7DD3">
        <w:rPr>
          <w:b/>
          <w:sz w:val="28"/>
          <w:szCs w:val="28"/>
        </w:rPr>
        <w:t>虾糜</w:t>
      </w:r>
      <w:proofErr w:type="gramEnd"/>
      <w:r w:rsidRPr="006C7DD3">
        <w:rPr>
          <w:b/>
          <w:sz w:val="28"/>
          <w:szCs w:val="28"/>
        </w:rPr>
        <w:t>和蛋白的制备及功能特性研究</w:t>
      </w:r>
    </w:p>
    <w:p w:rsidR="00671B1D" w:rsidRPr="006C7DD3" w:rsidRDefault="00671B1D" w:rsidP="00671B1D">
      <w:pPr>
        <w:adjustRightInd w:val="0"/>
        <w:snapToGrid w:val="0"/>
        <w:spacing w:line="360" w:lineRule="auto"/>
        <w:jc w:val="center"/>
        <w:rPr>
          <w:color w:val="000000"/>
          <w:szCs w:val="21"/>
        </w:rPr>
      </w:pPr>
      <w:r w:rsidRPr="006C7DD3">
        <w:rPr>
          <w:color w:val="000000"/>
          <w:szCs w:val="21"/>
        </w:rPr>
        <w:t>朱俊向，</w:t>
      </w:r>
      <w:r w:rsidRPr="006C7DD3">
        <w:rPr>
          <w:color w:val="000000"/>
          <w:szCs w:val="28"/>
        </w:rPr>
        <w:t>许</w:t>
      </w:r>
      <w:r w:rsidRPr="006C7DD3">
        <w:rPr>
          <w:color w:val="000000"/>
          <w:szCs w:val="28"/>
        </w:rPr>
        <w:t xml:space="preserve"> </w:t>
      </w:r>
      <w:r w:rsidRPr="006C7DD3">
        <w:rPr>
          <w:color w:val="000000"/>
          <w:szCs w:val="28"/>
        </w:rPr>
        <w:t>丹，陈</w:t>
      </w:r>
      <w:r w:rsidRPr="006C7DD3">
        <w:rPr>
          <w:color w:val="000000"/>
          <w:szCs w:val="28"/>
        </w:rPr>
        <w:t xml:space="preserve"> </w:t>
      </w:r>
      <w:r w:rsidRPr="006C7DD3">
        <w:rPr>
          <w:color w:val="000000"/>
          <w:szCs w:val="28"/>
        </w:rPr>
        <w:t>瑜，张小军，丁国芳</w:t>
      </w:r>
    </w:p>
    <w:p w:rsidR="00671B1D" w:rsidRPr="006C7DD3" w:rsidRDefault="00671B1D" w:rsidP="00671B1D">
      <w:pPr>
        <w:adjustRightInd w:val="0"/>
        <w:snapToGrid w:val="0"/>
        <w:spacing w:line="360" w:lineRule="auto"/>
        <w:jc w:val="center"/>
        <w:rPr>
          <w:szCs w:val="21"/>
        </w:rPr>
      </w:pPr>
      <w:r w:rsidRPr="006C7DD3">
        <w:rPr>
          <w:szCs w:val="21"/>
        </w:rPr>
        <w:t>（浙江省海洋水产研究所，浙江海洋大学海洋与渔业研究所，浙江</w:t>
      </w:r>
      <w:r w:rsidRPr="006C7DD3">
        <w:rPr>
          <w:szCs w:val="21"/>
        </w:rPr>
        <w:t xml:space="preserve"> </w:t>
      </w:r>
      <w:r w:rsidRPr="006C7DD3">
        <w:rPr>
          <w:szCs w:val="21"/>
        </w:rPr>
        <w:t>舟山</w:t>
      </w:r>
      <w:r w:rsidRPr="006C7DD3">
        <w:rPr>
          <w:szCs w:val="21"/>
        </w:rPr>
        <w:t xml:space="preserve"> 316021</w:t>
      </w:r>
      <w:r w:rsidRPr="006C7DD3">
        <w:rPr>
          <w:szCs w:val="21"/>
        </w:rPr>
        <w:t>）</w:t>
      </w:r>
      <w:r w:rsidRPr="006C7DD3">
        <w:rPr>
          <w:szCs w:val="21"/>
        </w:rPr>
        <w:t xml:space="preserve"> </w:t>
      </w:r>
    </w:p>
    <w:p w:rsidR="00671B1D" w:rsidRPr="006C7DD3" w:rsidRDefault="00671B1D" w:rsidP="00671B1D">
      <w:pPr>
        <w:adjustRightInd w:val="0"/>
        <w:snapToGrid w:val="0"/>
        <w:spacing w:line="360" w:lineRule="auto"/>
        <w:jc w:val="center"/>
        <w:rPr>
          <w:szCs w:val="21"/>
        </w:rPr>
      </w:pPr>
      <w:r w:rsidRPr="006C7DD3">
        <w:rPr>
          <w:szCs w:val="21"/>
        </w:rPr>
        <w:t>联系邮箱：</w:t>
      </w:r>
      <w:r w:rsidRPr="006C7DD3">
        <w:rPr>
          <w:szCs w:val="21"/>
        </w:rPr>
        <w:t>zhujunxiang89@zjou.edu.cn</w:t>
      </w:r>
      <w:r w:rsidRPr="006C7DD3">
        <w:rPr>
          <w:szCs w:val="21"/>
        </w:rPr>
        <w:t>；联系电话：</w:t>
      </w:r>
      <w:r w:rsidRPr="006C7DD3">
        <w:rPr>
          <w:szCs w:val="21"/>
        </w:rPr>
        <w:t>0580-2299872</w:t>
      </w:r>
    </w:p>
    <w:p w:rsidR="00671B1D" w:rsidRPr="006C7DD3" w:rsidRDefault="00671B1D" w:rsidP="00671B1D">
      <w:pPr>
        <w:widowControl/>
        <w:adjustRightInd w:val="0"/>
        <w:snapToGrid w:val="0"/>
        <w:spacing w:line="360" w:lineRule="auto"/>
        <w:jc w:val="left"/>
        <w:rPr>
          <w:sz w:val="24"/>
        </w:rPr>
      </w:pPr>
      <w:r w:rsidRPr="006C7DD3">
        <w:rPr>
          <w:b/>
          <w:sz w:val="24"/>
        </w:rPr>
        <w:t>【文字摘要】</w:t>
      </w:r>
    </w:p>
    <w:p w:rsidR="00671B1D" w:rsidRPr="006C7DD3" w:rsidRDefault="00671B1D" w:rsidP="00671B1D">
      <w:pPr>
        <w:widowControl/>
        <w:adjustRightInd w:val="0"/>
        <w:snapToGrid w:val="0"/>
        <w:spacing w:line="360" w:lineRule="auto"/>
        <w:jc w:val="left"/>
        <w:rPr>
          <w:sz w:val="24"/>
        </w:rPr>
      </w:pPr>
      <w:r w:rsidRPr="006C7DD3">
        <w:rPr>
          <w:b/>
          <w:sz w:val="24"/>
        </w:rPr>
        <w:t>目的</w:t>
      </w:r>
      <w:r w:rsidRPr="006C7DD3">
        <w:rPr>
          <w:b/>
          <w:sz w:val="24"/>
        </w:rPr>
        <w:t>:</w:t>
      </w:r>
      <w:r w:rsidRPr="006C7DD3">
        <w:rPr>
          <w:sz w:val="24"/>
        </w:rPr>
        <w:t xml:space="preserve"> </w:t>
      </w:r>
      <w:r w:rsidRPr="006C7DD3">
        <w:rPr>
          <w:sz w:val="24"/>
        </w:rPr>
        <w:t>优化等电点沉淀法和</w:t>
      </w:r>
      <w:proofErr w:type="gramStart"/>
      <w:r w:rsidRPr="006C7DD3">
        <w:rPr>
          <w:sz w:val="24"/>
        </w:rPr>
        <w:t>碱溶酸沉法分别</w:t>
      </w:r>
      <w:proofErr w:type="gramEnd"/>
      <w:r w:rsidRPr="006C7DD3">
        <w:rPr>
          <w:sz w:val="24"/>
        </w:rPr>
        <w:t>制备南极磷虾</w:t>
      </w:r>
      <w:proofErr w:type="gramStart"/>
      <w:r w:rsidRPr="006C7DD3">
        <w:rPr>
          <w:sz w:val="24"/>
        </w:rPr>
        <w:t>虾糜</w:t>
      </w:r>
      <w:proofErr w:type="gramEnd"/>
      <w:r w:rsidRPr="006C7DD3">
        <w:rPr>
          <w:sz w:val="24"/>
        </w:rPr>
        <w:t>和蛋白的工艺，并评价两种南极磷虾蛋白原料的功能特性。</w:t>
      </w:r>
    </w:p>
    <w:p w:rsidR="00671B1D" w:rsidRPr="006C7DD3" w:rsidRDefault="00671B1D" w:rsidP="00671B1D">
      <w:pPr>
        <w:widowControl/>
        <w:adjustRightInd w:val="0"/>
        <w:snapToGrid w:val="0"/>
        <w:spacing w:line="360" w:lineRule="auto"/>
        <w:jc w:val="left"/>
        <w:rPr>
          <w:sz w:val="24"/>
        </w:rPr>
      </w:pPr>
      <w:r w:rsidRPr="006C7DD3">
        <w:rPr>
          <w:b/>
          <w:sz w:val="24"/>
        </w:rPr>
        <w:t>方法</w:t>
      </w:r>
      <w:r w:rsidRPr="006C7DD3">
        <w:rPr>
          <w:b/>
          <w:sz w:val="24"/>
        </w:rPr>
        <w:t>:</w:t>
      </w:r>
      <w:r w:rsidRPr="006C7DD3">
        <w:rPr>
          <w:sz w:val="24"/>
        </w:rPr>
        <w:t xml:space="preserve"> </w:t>
      </w:r>
    </w:p>
    <w:p w:rsidR="00671B1D" w:rsidRPr="006C7DD3" w:rsidRDefault="00671B1D" w:rsidP="00671B1D">
      <w:pPr>
        <w:widowControl/>
        <w:adjustRightInd w:val="0"/>
        <w:snapToGrid w:val="0"/>
        <w:spacing w:line="360" w:lineRule="auto"/>
        <w:jc w:val="left"/>
        <w:rPr>
          <w:sz w:val="24"/>
        </w:rPr>
      </w:pPr>
      <w:r w:rsidRPr="006C7DD3">
        <w:rPr>
          <w:sz w:val="24"/>
        </w:rPr>
        <w:t>（</w:t>
      </w:r>
      <w:r w:rsidRPr="006C7DD3">
        <w:rPr>
          <w:sz w:val="24"/>
        </w:rPr>
        <w:t>1</w:t>
      </w:r>
      <w:r w:rsidRPr="006C7DD3">
        <w:rPr>
          <w:sz w:val="24"/>
        </w:rPr>
        <w:t>）南极磷虾</w:t>
      </w:r>
      <w:proofErr w:type="gramStart"/>
      <w:r w:rsidRPr="006C7DD3">
        <w:rPr>
          <w:sz w:val="24"/>
        </w:rPr>
        <w:t>虾糜</w:t>
      </w:r>
      <w:proofErr w:type="gramEnd"/>
      <w:r w:rsidRPr="006C7DD3">
        <w:rPr>
          <w:sz w:val="24"/>
        </w:rPr>
        <w:t>制备：称取</w:t>
      </w:r>
      <w:r w:rsidRPr="006C7DD3">
        <w:rPr>
          <w:sz w:val="24"/>
        </w:rPr>
        <w:t>4 g</w:t>
      </w:r>
      <w:r w:rsidRPr="006C7DD3">
        <w:rPr>
          <w:sz w:val="24"/>
        </w:rPr>
        <w:t>南极磷虾肉，加入不同体积的去离子水（</w:t>
      </w:r>
      <w:r w:rsidRPr="006C7DD3">
        <w:rPr>
          <w:sz w:val="24"/>
        </w:rPr>
        <w:t>4°C</w:t>
      </w:r>
      <w:r w:rsidRPr="006C7DD3">
        <w:rPr>
          <w:sz w:val="24"/>
        </w:rPr>
        <w:t>）匀浆。随后，用</w:t>
      </w:r>
      <w:r w:rsidRPr="006C7DD3">
        <w:rPr>
          <w:sz w:val="24"/>
        </w:rPr>
        <w:t>2 M</w:t>
      </w:r>
      <w:r w:rsidRPr="006C7DD3">
        <w:rPr>
          <w:sz w:val="24"/>
        </w:rPr>
        <w:t>磷酸调为不同</w:t>
      </w:r>
      <w:r w:rsidRPr="006C7DD3">
        <w:rPr>
          <w:sz w:val="24"/>
        </w:rPr>
        <w:t>pH</w:t>
      </w:r>
      <w:r w:rsidRPr="006C7DD3">
        <w:rPr>
          <w:sz w:val="24"/>
        </w:rPr>
        <w:t>，静</w:t>
      </w:r>
      <w:proofErr w:type="gramStart"/>
      <w:r w:rsidRPr="006C7DD3">
        <w:rPr>
          <w:sz w:val="24"/>
        </w:rPr>
        <w:t>置不同</w:t>
      </w:r>
      <w:proofErr w:type="gramEnd"/>
      <w:r w:rsidRPr="006C7DD3">
        <w:rPr>
          <w:sz w:val="24"/>
        </w:rPr>
        <w:t>时间，离心后收集沉淀，通过凯氏定氮法计算其蛋白质回收率。</w:t>
      </w:r>
    </w:p>
    <w:p w:rsidR="00671B1D" w:rsidRPr="006C7DD3" w:rsidRDefault="00671B1D" w:rsidP="00671B1D">
      <w:pPr>
        <w:widowControl/>
        <w:adjustRightInd w:val="0"/>
        <w:snapToGrid w:val="0"/>
        <w:spacing w:line="360" w:lineRule="auto"/>
        <w:jc w:val="left"/>
        <w:rPr>
          <w:sz w:val="24"/>
        </w:rPr>
      </w:pPr>
      <w:r w:rsidRPr="006C7DD3">
        <w:rPr>
          <w:sz w:val="24"/>
        </w:rPr>
        <w:t>（</w:t>
      </w:r>
      <w:r w:rsidRPr="006C7DD3">
        <w:rPr>
          <w:sz w:val="24"/>
        </w:rPr>
        <w:t>2</w:t>
      </w:r>
      <w:r w:rsidRPr="006C7DD3">
        <w:rPr>
          <w:sz w:val="24"/>
        </w:rPr>
        <w:t>）南极磷虾蛋白制备：称取</w:t>
      </w:r>
      <w:r w:rsidRPr="006C7DD3">
        <w:rPr>
          <w:sz w:val="24"/>
        </w:rPr>
        <w:t>4 g</w:t>
      </w:r>
      <w:r w:rsidRPr="006C7DD3">
        <w:rPr>
          <w:sz w:val="24"/>
        </w:rPr>
        <w:t>南极磷虾肉，加入不同体积的去离子水（</w:t>
      </w:r>
      <w:r w:rsidRPr="006C7DD3">
        <w:rPr>
          <w:sz w:val="24"/>
        </w:rPr>
        <w:t>4°C</w:t>
      </w:r>
      <w:r w:rsidRPr="006C7DD3">
        <w:rPr>
          <w:sz w:val="24"/>
        </w:rPr>
        <w:t>）匀浆。随后，用</w:t>
      </w:r>
      <w:r w:rsidRPr="006C7DD3">
        <w:rPr>
          <w:sz w:val="24"/>
        </w:rPr>
        <w:t>2 M</w:t>
      </w:r>
      <w:r w:rsidRPr="006C7DD3">
        <w:rPr>
          <w:sz w:val="24"/>
        </w:rPr>
        <w:t>氢氧化钠调为不同</w:t>
      </w:r>
      <w:r w:rsidRPr="006C7DD3">
        <w:rPr>
          <w:sz w:val="24"/>
        </w:rPr>
        <w:t>pH</w:t>
      </w:r>
      <w:r w:rsidRPr="006C7DD3">
        <w:rPr>
          <w:sz w:val="24"/>
        </w:rPr>
        <w:t>，静置</w:t>
      </w:r>
      <w:r w:rsidRPr="006C7DD3">
        <w:rPr>
          <w:sz w:val="24"/>
        </w:rPr>
        <w:t>0.5 h</w:t>
      </w:r>
      <w:r w:rsidRPr="006C7DD3">
        <w:rPr>
          <w:sz w:val="24"/>
        </w:rPr>
        <w:t>后，离心得到上清液，整个提取过程重复若干次数。最后，将上清液用</w:t>
      </w:r>
      <w:r w:rsidRPr="006C7DD3">
        <w:rPr>
          <w:sz w:val="24"/>
        </w:rPr>
        <w:t>2 M</w:t>
      </w:r>
      <w:r w:rsidRPr="006C7DD3">
        <w:rPr>
          <w:sz w:val="24"/>
        </w:rPr>
        <w:t>磷酸调</w:t>
      </w:r>
      <w:r w:rsidRPr="006C7DD3">
        <w:rPr>
          <w:sz w:val="24"/>
        </w:rPr>
        <w:t>pH</w:t>
      </w:r>
      <w:r w:rsidRPr="006C7DD3">
        <w:rPr>
          <w:sz w:val="24"/>
        </w:rPr>
        <w:t>为</w:t>
      </w:r>
      <w:r w:rsidRPr="006C7DD3">
        <w:rPr>
          <w:sz w:val="24"/>
        </w:rPr>
        <w:t>4.5</w:t>
      </w:r>
      <w:r w:rsidRPr="006C7DD3">
        <w:rPr>
          <w:sz w:val="24"/>
        </w:rPr>
        <w:t>，静置</w:t>
      </w:r>
      <w:r w:rsidRPr="006C7DD3">
        <w:rPr>
          <w:sz w:val="24"/>
        </w:rPr>
        <w:t>1.0 h</w:t>
      </w:r>
      <w:r w:rsidRPr="006C7DD3">
        <w:rPr>
          <w:sz w:val="24"/>
        </w:rPr>
        <w:t>后，离心收集沉淀，通过凯氏定氮法计算其蛋白质回收率。</w:t>
      </w:r>
    </w:p>
    <w:p w:rsidR="00671B1D" w:rsidRPr="006C7DD3" w:rsidRDefault="00671B1D" w:rsidP="00671B1D">
      <w:pPr>
        <w:widowControl/>
        <w:adjustRightInd w:val="0"/>
        <w:snapToGrid w:val="0"/>
        <w:spacing w:line="360" w:lineRule="auto"/>
        <w:jc w:val="left"/>
        <w:rPr>
          <w:sz w:val="24"/>
        </w:rPr>
      </w:pPr>
      <w:r w:rsidRPr="006C7DD3">
        <w:rPr>
          <w:sz w:val="24"/>
        </w:rPr>
        <w:t>（</w:t>
      </w:r>
      <w:r w:rsidRPr="006C7DD3">
        <w:rPr>
          <w:sz w:val="24"/>
        </w:rPr>
        <w:t>3</w:t>
      </w:r>
      <w:r w:rsidRPr="006C7DD3">
        <w:rPr>
          <w:sz w:val="24"/>
        </w:rPr>
        <w:t>）虾</w:t>
      </w:r>
      <w:proofErr w:type="gramStart"/>
      <w:r w:rsidRPr="006C7DD3">
        <w:rPr>
          <w:sz w:val="24"/>
        </w:rPr>
        <w:t>糜</w:t>
      </w:r>
      <w:proofErr w:type="gramEnd"/>
      <w:r w:rsidRPr="006C7DD3">
        <w:rPr>
          <w:sz w:val="24"/>
        </w:rPr>
        <w:t>和蛋白制备工艺优化：上述工艺涉及参数，如液料比、</w:t>
      </w:r>
      <w:r w:rsidRPr="006C7DD3">
        <w:rPr>
          <w:sz w:val="24"/>
        </w:rPr>
        <w:t>pH</w:t>
      </w:r>
      <w:r w:rsidRPr="006C7DD3">
        <w:rPr>
          <w:sz w:val="24"/>
        </w:rPr>
        <w:t>、静</w:t>
      </w:r>
      <w:proofErr w:type="gramStart"/>
      <w:r w:rsidRPr="006C7DD3">
        <w:rPr>
          <w:sz w:val="24"/>
        </w:rPr>
        <w:t>置时间</w:t>
      </w:r>
      <w:proofErr w:type="gramEnd"/>
      <w:r w:rsidRPr="006C7DD3">
        <w:rPr>
          <w:sz w:val="24"/>
        </w:rPr>
        <w:t>和提取次数等采用响应面</w:t>
      </w:r>
      <w:r w:rsidRPr="006C7DD3">
        <w:rPr>
          <w:sz w:val="24"/>
        </w:rPr>
        <w:t>Box-</w:t>
      </w:r>
      <w:proofErr w:type="spellStart"/>
      <w:r w:rsidRPr="006C7DD3">
        <w:rPr>
          <w:sz w:val="24"/>
        </w:rPr>
        <w:t>Benhnken</w:t>
      </w:r>
      <w:proofErr w:type="spellEnd"/>
      <w:r w:rsidRPr="006C7DD3">
        <w:rPr>
          <w:sz w:val="24"/>
        </w:rPr>
        <w:t>设计进行优化。</w:t>
      </w:r>
    </w:p>
    <w:p w:rsidR="00671B1D" w:rsidRPr="006C7DD3" w:rsidRDefault="00671B1D" w:rsidP="00671B1D">
      <w:pPr>
        <w:widowControl/>
        <w:adjustRightInd w:val="0"/>
        <w:snapToGrid w:val="0"/>
        <w:spacing w:line="360" w:lineRule="auto"/>
        <w:jc w:val="left"/>
        <w:rPr>
          <w:sz w:val="24"/>
        </w:rPr>
      </w:pPr>
      <w:r w:rsidRPr="006C7DD3">
        <w:rPr>
          <w:sz w:val="24"/>
        </w:rPr>
        <w:t>（</w:t>
      </w:r>
      <w:r w:rsidRPr="006C7DD3">
        <w:rPr>
          <w:sz w:val="24"/>
        </w:rPr>
        <w:t>3</w:t>
      </w:r>
      <w:r w:rsidRPr="006C7DD3">
        <w:rPr>
          <w:sz w:val="24"/>
        </w:rPr>
        <w:t>）功能特性研究：溶解性、持水性、持油性、乳化性、稳定性、起泡性和泡沫稳定性。</w:t>
      </w:r>
    </w:p>
    <w:p w:rsidR="00671B1D" w:rsidRPr="006C7DD3" w:rsidRDefault="00671B1D" w:rsidP="00671B1D">
      <w:pPr>
        <w:widowControl/>
        <w:adjustRightInd w:val="0"/>
        <w:snapToGrid w:val="0"/>
        <w:spacing w:line="360" w:lineRule="auto"/>
        <w:jc w:val="left"/>
        <w:rPr>
          <w:sz w:val="24"/>
        </w:rPr>
      </w:pPr>
      <w:r w:rsidRPr="006C7DD3">
        <w:rPr>
          <w:b/>
          <w:sz w:val="24"/>
        </w:rPr>
        <w:t>结果</w:t>
      </w:r>
      <w:r w:rsidRPr="006C7DD3">
        <w:rPr>
          <w:b/>
          <w:sz w:val="24"/>
        </w:rPr>
        <w:t xml:space="preserve">: </w:t>
      </w:r>
      <w:r w:rsidRPr="006C7DD3">
        <w:rPr>
          <w:sz w:val="24"/>
        </w:rPr>
        <w:t>确定的南极磷虾</w:t>
      </w:r>
      <w:proofErr w:type="gramStart"/>
      <w:r w:rsidRPr="006C7DD3">
        <w:rPr>
          <w:sz w:val="24"/>
        </w:rPr>
        <w:t>虾糜</w:t>
      </w:r>
      <w:proofErr w:type="gramEnd"/>
      <w:r w:rsidRPr="006C7DD3">
        <w:rPr>
          <w:sz w:val="24"/>
        </w:rPr>
        <w:t>制备最优工艺为液料比</w:t>
      </w:r>
      <w:r w:rsidRPr="006C7DD3">
        <w:rPr>
          <w:sz w:val="24"/>
        </w:rPr>
        <w:t>3.2:1 mL/g</w:t>
      </w:r>
      <w:r w:rsidRPr="006C7DD3">
        <w:rPr>
          <w:sz w:val="24"/>
        </w:rPr>
        <w:t>、酸沉</w:t>
      </w:r>
      <w:r w:rsidRPr="006C7DD3">
        <w:rPr>
          <w:sz w:val="24"/>
        </w:rPr>
        <w:t>pH 4.4</w:t>
      </w:r>
      <w:r w:rsidRPr="006C7DD3">
        <w:rPr>
          <w:sz w:val="24"/>
        </w:rPr>
        <w:t>、静</w:t>
      </w:r>
      <w:proofErr w:type="gramStart"/>
      <w:r w:rsidRPr="006C7DD3">
        <w:rPr>
          <w:sz w:val="24"/>
        </w:rPr>
        <w:t>置时间</w:t>
      </w:r>
      <w:proofErr w:type="gramEnd"/>
      <w:r w:rsidRPr="006C7DD3">
        <w:rPr>
          <w:sz w:val="24"/>
        </w:rPr>
        <w:t>1 h</w:t>
      </w:r>
      <w:r w:rsidRPr="006C7DD3">
        <w:rPr>
          <w:sz w:val="24"/>
        </w:rPr>
        <w:t>；南极磷虾蛋白提取最优工艺为液料比</w:t>
      </w:r>
      <w:r w:rsidRPr="006C7DD3">
        <w:rPr>
          <w:sz w:val="24"/>
        </w:rPr>
        <w:t>3.2:1 mL/g</w:t>
      </w:r>
      <w:r w:rsidRPr="006C7DD3">
        <w:rPr>
          <w:sz w:val="24"/>
        </w:rPr>
        <w:t>、</w:t>
      </w:r>
      <w:proofErr w:type="gramStart"/>
      <w:r w:rsidRPr="006C7DD3">
        <w:rPr>
          <w:sz w:val="24"/>
        </w:rPr>
        <w:t>碱溶</w:t>
      </w:r>
      <w:proofErr w:type="gramEnd"/>
      <w:r w:rsidRPr="006C7DD3">
        <w:rPr>
          <w:sz w:val="24"/>
        </w:rPr>
        <w:t>pH 11.4</w:t>
      </w:r>
      <w:r w:rsidRPr="006C7DD3">
        <w:rPr>
          <w:sz w:val="24"/>
        </w:rPr>
        <w:t>、提取</w:t>
      </w:r>
      <w:r w:rsidRPr="006C7DD3">
        <w:rPr>
          <w:sz w:val="24"/>
        </w:rPr>
        <w:t>3</w:t>
      </w:r>
      <w:r w:rsidRPr="006C7DD3">
        <w:rPr>
          <w:sz w:val="24"/>
        </w:rPr>
        <w:t>次。两种工艺的蛋白质回收率分别为</w:t>
      </w:r>
      <w:r w:rsidRPr="006C7DD3">
        <w:rPr>
          <w:sz w:val="24"/>
        </w:rPr>
        <w:t>70.05%</w:t>
      </w:r>
      <w:r w:rsidRPr="006C7DD3">
        <w:rPr>
          <w:sz w:val="24"/>
        </w:rPr>
        <w:t>和</w:t>
      </w:r>
      <w:r w:rsidRPr="006C7DD3">
        <w:rPr>
          <w:sz w:val="24"/>
        </w:rPr>
        <w:t>63.21%</w:t>
      </w:r>
      <w:r w:rsidRPr="006C7DD3">
        <w:rPr>
          <w:sz w:val="24"/>
        </w:rPr>
        <w:t>。功能特性研究表明，南极磷虾</w:t>
      </w:r>
      <w:proofErr w:type="gramStart"/>
      <w:r w:rsidRPr="006C7DD3">
        <w:rPr>
          <w:sz w:val="24"/>
        </w:rPr>
        <w:t>虾糜</w:t>
      </w:r>
      <w:proofErr w:type="gramEnd"/>
      <w:r w:rsidRPr="006C7DD3">
        <w:rPr>
          <w:sz w:val="24"/>
        </w:rPr>
        <w:t>和蛋白的持水性和持油性优于虾肉，然而，乳化性和起泡性与虾肉相差不大。</w:t>
      </w:r>
    </w:p>
    <w:p w:rsidR="00671B1D" w:rsidRPr="006C7DD3" w:rsidRDefault="00671B1D" w:rsidP="00671B1D">
      <w:pPr>
        <w:widowControl/>
        <w:adjustRightInd w:val="0"/>
        <w:snapToGrid w:val="0"/>
        <w:spacing w:line="360" w:lineRule="auto"/>
        <w:jc w:val="left"/>
        <w:rPr>
          <w:sz w:val="28"/>
        </w:rPr>
      </w:pPr>
      <w:r w:rsidRPr="006C7DD3">
        <w:rPr>
          <w:b/>
          <w:sz w:val="24"/>
        </w:rPr>
        <w:t>结论</w:t>
      </w:r>
      <w:r w:rsidRPr="006C7DD3">
        <w:rPr>
          <w:b/>
          <w:sz w:val="24"/>
        </w:rPr>
        <w:t>:</w:t>
      </w:r>
      <w:r w:rsidRPr="006C7DD3">
        <w:rPr>
          <w:sz w:val="24"/>
        </w:rPr>
        <w:t xml:space="preserve"> </w:t>
      </w:r>
      <w:r w:rsidRPr="006C7DD3">
        <w:rPr>
          <w:sz w:val="24"/>
        </w:rPr>
        <w:t>本研究建立了南极磷虾</w:t>
      </w:r>
      <w:proofErr w:type="gramStart"/>
      <w:r w:rsidRPr="006C7DD3">
        <w:rPr>
          <w:sz w:val="24"/>
        </w:rPr>
        <w:t>虾糜</w:t>
      </w:r>
      <w:proofErr w:type="gramEnd"/>
      <w:r w:rsidRPr="006C7DD3">
        <w:rPr>
          <w:sz w:val="24"/>
        </w:rPr>
        <w:t>和蛋白的最优制备工艺，两种工艺条件下的蛋白质回收率与模型预测值接近。功能特性研究表明，南极磷虾蛋白的溶解性、持水性、持油性、乳化稳定性和起泡性最好，而乳化性和泡沫稳定性，虾肉、虾</w:t>
      </w:r>
      <w:proofErr w:type="gramStart"/>
      <w:r w:rsidRPr="006C7DD3">
        <w:rPr>
          <w:sz w:val="24"/>
        </w:rPr>
        <w:t>糜</w:t>
      </w:r>
      <w:proofErr w:type="gramEnd"/>
      <w:r w:rsidRPr="006C7DD3">
        <w:rPr>
          <w:sz w:val="24"/>
        </w:rPr>
        <w:t>和蛋白三者之间无显著差异。</w:t>
      </w:r>
    </w:p>
    <w:p w:rsidR="00671B1D" w:rsidRPr="006C7DD3" w:rsidRDefault="00671B1D" w:rsidP="00671B1D">
      <w:pPr>
        <w:autoSpaceDE w:val="0"/>
        <w:autoSpaceDN w:val="0"/>
        <w:adjustRightInd w:val="0"/>
        <w:snapToGrid w:val="0"/>
        <w:spacing w:line="360" w:lineRule="auto"/>
        <w:rPr>
          <w:sz w:val="24"/>
        </w:rPr>
      </w:pPr>
      <w:r w:rsidRPr="006C7DD3">
        <w:rPr>
          <w:b/>
          <w:sz w:val="24"/>
        </w:rPr>
        <w:t>【关键词】</w:t>
      </w:r>
      <w:r w:rsidRPr="006C7DD3">
        <w:rPr>
          <w:sz w:val="24"/>
        </w:rPr>
        <w:t>南极磷虾；虾</w:t>
      </w:r>
      <w:proofErr w:type="gramStart"/>
      <w:r w:rsidRPr="006C7DD3">
        <w:rPr>
          <w:sz w:val="24"/>
        </w:rPr>
        <w:t>糜</w:t>
      </w:r>
      <w:proofErr w:type="gramEnd"/>
      <w:r w:rsidRPr="006C7DD3">
        <w:rPr>
          <w:sz w:val="24"/>
        </w:rPr>
        <w:t>；蛋白提取；功能特性</w:t>
      </w:r>
    </w:p>
    <w:p w:rsidR="00671B1D" w:rsidRPr="006C7DD3" w:rsidRDefault="00671B1D" w:rsidP="00671B1D">
      <w:pPr>
        <w:autoSpaceDE w:val="0"/>
        <w:autoSpaceDN w:val="0"/>
        <w:adjustRightInd w:val="0"/>
        <w:snapToGrid w:val="0"/>
        <w:spacing w:line="360" w:lineRule="auto"/>
        <w:rPr>
          <w:b/>
          <w:color w:val="000000"/>
          <w:kern w:val="0"/>
          <w:sz w:val="27"/>
          <w:szCs w:val="27"/>
        </w:rPr>
      </w:pPr>
      <w:r w:rsidRPr="006C7DD3">
        <w:rPr>
          <w:b/>
          <w:sz w:val="24"/>
        </w:rPr>
        <w:t>【图片摘要】</w:t>
      </w:r>
    </w:p>
    <w:p w:rsidR="00671B1D" w:rsidRPr="006C7DD3" w:rsidRDefault="00671B1D" w:rsidP="00671B1D">
      <w:pPr>
        <w:widowControl/>
        <w:shd w:val="clear" w:color="auto" w:fill="FFFFFF"/>
        <w:adjustRightInd w:val="0"/>
        <w:snapToGrid w:val="0"/>
        <w:spacing w:line="360" w:lineRule="auto"/>
        <w:jc w:val="center"/>
        <w:rPr>
          <w:b/>
          <w:sz w:val="24"/>
        </w:rPr>
      </w:pPr>
      <w:r w:rsidRPr="006C7DD3">
        <w:rPr>
          <w:b/>
          <w:noProof/>
          <w:sz w:val="24"/>
        </w:rPr>
        <w:lastRenderedPageBreak/>
        <w:drawing>
          <wp:inline distT="0" distB="0" distL="0" distR="0" wp14:anchorId="125CB8DD" wp14:editId="0A2CC2F1">
            <wp:extent cx="5005070" cy="2306320"/>
            <wp:effectExtent l="0" t="0" r="5080" b="0"/>
            <wp:docPr id="9466021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05070" cy="2306320"/>
                    </a:xfrm>
                    <a:prstGeom prst="rect">
                      <a:avLst/>
                    </a:prstGeom>
                    <a:noFill/>
                    <a:ln>
                      <a:noFill/>
                    </a:ln>
                  </pic:spPr>
                </pic:pic>
              </a:graphicData>
            </a:graphic>
          </wp:inline>
        </w:drawing>
      </w:r>
    </w:p>
    <w:p w:rsidR="00671B1D" w:rsidRPr="006C7DD3" w:rsidRDefault="00671B1D" w:rsidP="00671B1D">
      <w:pPr>
        <w:widowControl/>
        <w:shd w:val="clear" w:color="auto" w:fill="FFFFFF"/>
        <w:adjustRightInd w:val="0"/>
        <w:snapToGrid w:val="0"/>
        <w:spacing w:line="360" w:lineRule="auto"/>
        <w:jc w:val="center"/>
        <w:rPr>
          <w:b/>
          <w:sz w:val="24"/>
        </w:rPr>
      </w:pPr>
      <w:r w:rsidRPr="006C7DD3">
        <w:rPr>
          <w:b/>
          <w:szCs w:val="21"/>
        </w:rPr>
        <w:t>不同工艺参数影响南极磷虾</w:t>
      </w:r>
      <w:proofErr w:type="gramStart"/>
      <w:r w:rsidRPr="006C7DD3">
        <w:rPr>
          <w:b/>
          <w:szCs w:val="21"/>
        </w:rPr>
        <w:t>虾糜</w:t>
      </w:r>
      <w:proofErr w:type="gramEnd"/>
      <w:r w:rsidRPr="006C7DD3">
        <w:rPr>
          <w:b/>
          <w:szCs w:val="21"/>
        </w:rPr>
        <w:t>（</w:t>
      </w:r>
      <w:r w:rsidRPr="006C7DD3">
        <w:rPr>
          <w:b/>
          <w:szCs w:val="21"/>
        </w:rPr>
        <w:t>A-C</w:t>
      </w:r>
      <w:r w:rsidRPr="006C7DD3">
        <w:rPr>
          <w:b/>
          <w:szCs w:val="21"/>
        </w:rPr>
        <w:t>）和蛋白（</w:t>
      </w:r>
      <w:r w:rsidRPr="006C7DD3">
        <w:rPr>
          <w:b/>
          <w:szCs w:val="21"/>
        </w:rPr>
        <w:t>D-F</w:t>
      </w:r>
      <w:r w:rsidRPr="006C7DD3">
        <w:rPr>
          <w:b/>
          <w:szCs w:val="21"/>
        </w:rPr>
        <w:t>）蛋白质回收率的响应面图</w:t>
      </w:r>
    </w:p>
    <w:p w:rsidR="00671B1D" w:rsidRPr="006C7DD3" w:rsidRDefault="00671B1D" w:rsidP="00671B1D">
      <w:pPr>
        <w:spacing w:line="360" w:lineRule="auto"/>
        <w:jc w:val="center"/>
        <w:rPr>
          <w:b/>
          <w:color w:val="313131"/>
          <w:sz w:val="28"/>
          <w:szCs w:val="28"/>
        </w:rPr>
      </w:pPr>
      <w:r w:rsidRPr="006C7DD3">
        <w:rPr>
          <w:b/>
          <w:color w:val="313131"/>
          <w:sz w:val="28"/>
          <w:szCs w:val="28"/>
        </w:rPr>
        <w:t xml:space="preserve">Study on the Metabolism of Fibrinolytic Active Compound FGFC1 in Rat Liver Microsomes and </w:t>
      </w:r>
      <w:r w:rsidRPr="006C7DD3">
        <w:rPr>
          <w:b/>
          <w:i/>
          <w:iCs/>
          <w:color w:val="313131"/>
          <w:sz w:val="28"/>
          <w:szCs w:val="28"/>
        </w:rPr>
        <w:t>in vivo</w:t>
      </w:r>
    </w:p>
    <w:p w:rsidR="00671B1D" w:rsidRPr="006C7DD3" w:rsidRDefault="00671B1D" w:rsidP="00671B1D">
      <w:pPr>
        <w:spacing w:line="360" w:lineRule="auto"/>
        <w:jc w:val="center"/>
        <w:rPr>
          <w:snapToGrid w:val="0"/>
          <w:szCs w:val="21"/>
        </w:rPr>
      </w:pPr>
      <w:r w:rsidRPr="006C7DD3">
        <w:rPr>
          <w:snapToGrid w:val="0"/>
          <w:szCs w:val="21"/>
        </w:rPr>
        <w:t>Zibin Ma</w:t>
      </w:r>
      <w:r w:rsidRPr="006C7DD3">
        <w:rPr>
          <w:snapToGrid w:val="0"/>
          <w:szCs w:val="21"/>
          <w:vertAlign w:val="superscript"/>
        </w:rPr>
        <w:t>1</w:t>
      </w:r>
      <w:r w:rsidRPr="006C7DD3">
        <w:rPr>
          <w:snapToGrid w:val="0"/>
          <w:szCs w:val="21"/>
        </w:rPr>
        <w:t>，</w:t>
      </w:r>
      <w:proofErr w:type="spellStart"/>
      <w:r w:rsidRPr="006C7DD3">
        <w:rPr>
          <w:snapToGrid w:val="0"/>
          <w:szCs w:val="21"/>
        </w:rPr>
        <w:t>Ruihua</w:t>
      </w:r>
      <w:proofErr w:type="spellEnd"/>
      <w:r w:rsidRPr="006C7DD3">
        <w:rPr>
          <w:snapToGrid w:val="0"/>
          <w:szCs w:val="21"/>
        </w:rPr>
        <w:t xml:space="preserve"> Guo</w:t>
      </w:r>
      <w:r w:rsidRPr="006C7DD3">
        <w:rPr>
          <w:snapToGrid w:val="0"/>
          <w:szCs w:val="21"/>
          <w:vertAlign w:val="superscript"/>
        </w:rPr>
        <w:t>1</w:t>
      </w:r>
      <w:r w:rsidRPr="006C7DD3">
        <w:rPr>
          <w:snapToGrid w:val="0"/>
          <w:szCs w:val="21"/>
        </w:rPr>
        <w:t>，</w:t>
      </w:r>
      <w:r w:rsidRPr="006C7DD3">
        <w:rPr>
          <w:snapToGrid w:val="0"/>
          <w:szCs w:val="21"/>
        </w:rPr>
        <w:t>Bin Bao</w:t>
      </w:r>
      <w:r w:rsidRPr="006C7DD3">
        <w:rPr>
          <w:snapToGrid w:val="0"/>
          <w:szCs w:val="21"/>
          <w:vertAlign w:val="superscript"/>
        </w:rPr>
        <w:t>1</w:t>
      </w:r>
      <w:r w:rsidRPr="006C7DD3">
        <w:rPr>
          <w:snapToGrid w:val="0"/>
          <w:szCs w:val="21"/>
        </w:rPr>
        <w:t>，</w:t>
      </w:r>
      <w:r w:rsidRPr="006C7DD3">
        <w:rPr>
          <w:snapToGrid w:val="0"/>
          <w:szCs w:val="21"/>
        </w:rPr>
        <w:t>Wenhui Wu</w:t>
      </w:r>
      <w:r w:rsidRPr="006C7DD3">
        <w:rPr>
          <w:snapToGrid w:val="0"/>
          <w:szCs w:val="21"/>
          <w:vertAlign w:val="superscript"/>
        </w:rPr>
        <w:t>1※</w:t>
      </w:r>
    </w:p>
    <w:p w:rsidR="00671B1D" w:rsidRPr="006C7DD3" w:rsidRDefault="00671B1D" w:rsidP="00671B1D">
      <w:pPr>
        <w:spacing w:line="360" w:lineRule="auto"/>
        <w:jc w:val="center"/>
        <w:rPr>
          <w:snapToGrid w:val="0"/>
          <w:szCs w:val="21"/>
        </w:rPr>
      </w:pPr>
      <w:r w:rsidRPr="006C7DD3">
        <w:rPr>
          <w:snapToGrid w:val="0"/>
          <w:szCs w:val="21"/>
        </w:rPr>
        <w:t>（</w:t>
      </w:r>
      <w:r w:rsidRPr="006C7DD3">
        <w:rPr>
          <w:snapToGrid w:val="0"/>
          <w:szCs w:val="21"/>
          <w:vertAlign w:val="superscript"/>
        </w:rPr>
        <w:t>1</w:t>
      </w:r>
      <w:r w:rsidRPr="006C7DD3">
        <w:rPr>
          <w:snapToGrid w:val="0"/>
          <w:szCs w:val="21"/>
        </w:rPr>
        <w:t>College of food Science and Technology, Shanghai Ocean University, Shanghai 201306</w:t>
      </w:r>
      <w:r w:rsidRPr="006C7DD3">
        <w:rPr>
          <w:snapToGrid w:val="0"/>
          <w:szCs w:val="21"/>
        </w:rPr>
        <w:t>）</w:t>
      </w:r>
    </w:p>
    <w:p w:rsidR="00671B1D" w:rsidRPr="006C7DD3" w:rsidRDefault="00671B1D" w:rsidP="00671B1D">
      <w:pPr>
        <w:spacing w:line="360" w:lineRule="auto"/>
        <w:jc w:val="center"/>
        <w:rPr>
          <w:snapToGrid w:val="0"/>
          <w:szCs w:val="21"/>
          <w:lang w:val="fr-FR"/>
        </w:rPr>
      </w:pPr>
      <w:r w:rsidRPr="006C7DD3">
        <w:rPr>
          <w:snapToGrid w:val="0"/>
          <w:szCs w:val="21"/>
          <w:lang w:val="fr-FR"/>
        </w:rPr>
        <w:t>（</w:t>
      </w:r>
      <w:r w:rsidRPr="006C7DD3">
        <w:rPr>
          <w:snapToGrid w:val="0"/>
          <w:szCs w:val="21"/>
          <w:lang w:val="fr-FR"/>
        </w:rPr>
        <w:t xml:space="preserve">E-mail : </w:t>
      </w:r>
      <w:r>
        <w:fldChar w:fldCharType="begin"/>
      </w:r>
      <w:r>
        <w:instrText>HYPERLINK "mailto:zibinma@163.com"</w:instrText>
      </w:r>
      <w:r>
        <w:fldChar w:fldCharType="separate"/>
      </w:r>
      <w:r w:rsidRPr="006C7DD3">
        <w:rPr>
          <w:snapToGrid w:val="0"/>
          <w:color w:val="0000FF"/>
          <w:szCs w:val="21"/>
          <w:u w:val="single"/>
          <w:lang w:val="fr-FR"/>
        </w:rPr>
        <w:t>zibinma@163.com</w:t>
      </w:r>
      <w:r>
        <w:rPr>
          <w:snapToGrid w:val="0"/>
          <w:color w:val="0000FF"/>
          <w:szCs w:val="21"/>
          <w:u w:val="single"/>
          <w:lang w:val="fr-FR"/>
        </w:rPr>
        <w:fldChar w:fldCharType="end"/>
      </w:r>
      <w:r w:rsidRPr="006C7DD3">
        <w:rPr>
          <w:snapToGrid w:val="0"/>
          <w:szCs w:val="21"/>
          <w:lang w:val="fr-FR"/>
        </w:rPr>
        <w:t> ; Tel: 15601810880</w:t>
      </w:r>
      <w:r w:rsidRPr="006C7DD3">
        <w:rPr>
          <w:snapToGrid w:val="0"/>
          <w:szCs w:val="21"/>
          <w:lang w:val="fr-FR"/>
        </w:rPr>
        <w:t>）</w:t>
      </w:r>
    </w:p>
    <w:p w:rsidR="00671B1D" w:rsidRPr="006C7DD3" w:rsidRDefault="00671B1D" w:rsidP="00671B1D">
      <w:pPr>
        <w:spacing w:line="360" w:lineRule="auto"/>
        <w:rPr>
          <w:snapToGrid w:val="0"/>
          <w:sz w:val="24"/>
          <w:lang w:val="fr-FR"/>
        </w:rPr>
      </w:pPr>
      <w:r w:rsidRPr="006C7DD3">
        <w:rPr>
          <w:b/>
          <w:snapToGrid w:val="0"/>
          <w:sz w:val="24"/>
          <w:lang w:val="fr-FR"/>
        </w:rPr>
        <w:t>[</w:t>
      </w:r>
      <w:r w:rsidRPr="006C7DD3">
        <w:rPr>
          <w:b/>
          <w:snapToGrid w:val="0"/>
          <w:color w:val="000000"/>
          <w:sz w:val="24"/>
        </w:rPr>
        <w:t>Abstract</w:t>
      </w:r>
      <w:r w:rsidRPr="006C7DD3">
        <w:rPr>
          <w:b/>
          <w:snapToGrid w:val="0"/>
          <w:sz w:val="24"/>
          <w:lang w:val="fr-FR"/>
        </w:rPr>
        <w:t>]</w:t>
      </w:r>
    </w:p>
    <w:p w:rsidR="00671B1D" w:rsidRPr="006C7DD3" w:rsidRDefault="00671B1D" w:rsidP="00671B1D">
      <w:pPr>
        <w:spacing w:line="360" w:lineRule="auto"/>
        <w:rPr>
          <w:snapToGrid w:val="0"/>
          <w:sz w:val="24"/>
        </w:rPr>
      </w:pPr>
      <w:r w:rsidRPr="006C7DD3">
        <w:rPr>
          <w:b/>
          <w:snapToGrid w:val="0"/>
          <w:sz w:val="24"/>
        </w:rPr>
        <w:t>Objective:</w:t>
      </w:r>
      <w:r w:rsidRPr="006C7DD3">
        <w:rPr>
          <w:snapToGrid w:val="0"/>
          <w:sz w:val="24"/>
        </w:rPr>
        <w:t xml:space="preserve"> We investigated a novel marine fibrinolytic compound for use in thrombolytic therapy. Pharmacokinetics and the tissue distribution of this novel marine fibrinolytic compound, FGFC1 (fungi fibrinolytic compound 1), were investigated in Wistar rats after intravenous (IV) bolus administration of two concentrations (10 and 20 mg/kg). </w:t>
      </w:r>
    </w:p>
    <w:p w:rsidR="00671B1D" w:rsidRPr="006C7DD3" w:rsidRDefault="00671B1D" w:rsidP="00671B1D">
      <w:pPr>
        <w:spacing w:line="360" w:lineRule="auto"/>
        <w:rPr>
          <w:snapToGrid w:val="0"/>
          <w:sz w:val="24"/>
        </w:rPr>
      </w:pPr>
      <w:r w:rsidRPr="006C7DD3">
        <w:rPr>
          <w:b/>
          <w:snapToGrid w:val="0"/>
          <w:sz w:val="24"/>
        </w:rPr>
        <w:t>Methods:</w:t>
      </w:r>
      <w:r w:rsidRPr="006C7DD3">
        <w:rPr>
          <w:snapToGrid w:val="0"/>
          <w:sz w:val="24"/>
        </w:rPr>
        <w:t xml:space="preserve"> Plasma FGFC1 and tissue extracts were measured using HPLC with UV detection. FGFC1 was detected using a C18 column with a gradient eluted mobile phase of acetonitrile-water (0.1% trifluoroacetic acid), 1.0 mL/min. Chromatograms were monitored at 265 nm (column temperature: 40℃). </w:t>
      </w:r>
    </w:p>
    <w:p w:rsidR="00671B1D" w:rsidRPr="006C7DD3" w:rsidRDefault="00671B1D" w:rsidP="00671B1D">
      <w:pPr>
        <w:spacing w:line="360" w:lineRule="auto"/>
        <w:rPr>
          <w:snapToGrid w:val="0"/>
          <w:sz w:val="24"/>
        </w:rPr>
      </w:pPr>
      <w:r w:rsidRPr="006C7DD3">
        <w:rPr>
          <w:b/>
          <w:snapToGrid w:val="0"/>
          <w:sz w:val="24"/>
        </w:rPr>
        <w:t>Results:</w:t>
      </w:r>
      <w:r w:rsidRPr="006C7DD3">
        <w:rPr>
          <w:snapToGrid w:val="0"/>
          <w:sz w:val="24"/>
        </w:rPr>
        <w:t xml:space="preserve"> Pharmacokinetic data indicate that FGFC1 fitted well to a two-compartment model. Elimination half-lives (t1/2) of FGFC1 were 21.51±2.17 and 23.22±2.11 min for 10 and 20 mg/kg, respectively. AUC0-t were 412.19±19.09, 899.09±35.86 </w:t>
      </w:r>
      <w:proofErr w:type="spellStart"/>
      <w:r w:rsidRPr="006C7DD3">
        <w:rPr>
          <w:snapToGrid w:val="0"/>
          <w:sz w:val="24"/>
        </w:rPr>
        <w:t>μg</w:t>
      </w:r>
      <w:proofErr w:type="spellEnd"/>
      <w:r w:rsidRPr="006C7DD3">
        <w:rPr>
          <w:snapToGrid w:val="0"/>
          <w:sz w:val="24"/>
        </w:rPr>
        <w:t>/</w:t>
      </w:r>
      <w:proofErr w:type="spellStart"/>
      <w:r w:rsidRPr="006C7DD3">
        <w:rPr>
          <w:snapToGrid w:val="0"/>
          <w:sz w:val="24"/>
        </w:rPr>
        <w:t>ml×min</w:t>
      </w:r>
      <w:proofErr w:type="spellEnd"/>
      <w:r w:rsidRPr="006C7DD3">
        <w:rPr>
          <w:snapToGrid w:val="0"/>
          <w:sz w:val="24"/>
        </w:rPr>
        <w:t>, systemic clearance (CL) was 0.023±0.002, 0.022±0.002 ((mg/kg)/(</w:t>
      </w:r>
      <w:proofErr w:type="spellStart"/>
      <w:r w:rsidRPr="006C7DD3">
        <w:rPr>
          <w:snapToGrid w:val="0"/>
          <w:sz w:val="24"/>
        </w:rPr>
        <w:t>μg</w:t>
      </w:r>
      <w:proofErr w:type="spellEnd"/>
      <w:r w:rsidRPr="006C7DD3">
        <w:rPr>
          <w:snapToGrid w:val="0"/>
          <w:sz w:val="24"/>
        </w:rPr>
        <w:t xml:space="preserve">/ml)/min) and the mean residence time (MRT) was 10.15±0.97, 9.65±1.40 min at 10 and 20 mg/kg, respectively. No significant differences were observed in the systemic clearance and mean residence time at the tested doses, suggesting linear pharmacokinetics in rats. Tissue distribution data reveal that FGFC1 distributed rapidly in most </w:t>
      </w:r>
      <w:r w:rsidRPr="006C7DD3">
        <w:rPr>
          <w:snapToGrid w:val="0"/>
          <w:sz w:val="24"/>
        </w:rPr>
        <w:lastRenderedPageBreak/>
        <w:t>tissues except the brain and that the highest concentration of the drug was in the liver. In the small intestine, FGFC1 initially increased and then declined, but remained comparatively high 60 min after administration, suggesting that enterohepatic circulation may exist.</w:t>
      </w:r>
    </w:p>
    <w:p w:rsidR="00671B1D" w:rsidRPr="006C7DD3" w:rsidRDefault="00671B1D" w:rsidP="00671B1D">
      <w:pPr>
        <w:spacing w:line="360" w:lineRule="auto"/>
        <w:rPr>
          <w:b/>
          <w:snapToGrid w:val="0"/>
          <w:sz w:val="24"/>
        </w:rPr>
      </w:pPr>
      <w:r w:rsidRPr="006C7DD3">
        <w:rPr>
          <w:b/>
          <w:snapToGrid w:val="0"/>
          <w:sz w:val="24"/>
        </w:rPr>
        <w:t xml:space="preserve">Conclusion: </w:t>
      </w:r>
      <w:bookmarkStart w:id="0" w:name="_Hlk141789544"/>
      <w:r w:rsidRPr="006C7DD3">
        <w:rPr>
          <w:snapToGrid w:val="0"/>
          <w:sz w:val="24"/>
        </w:rPr>
        <w:t xml:space="preserve">FGFC1 has good </w:t>
      </w:r>
      <w:r w:rsidRPr="006C7DD3">
        <w:rPr>
          <w:snapToGrid w:val="0"/>
          <w:color w:val="000000"/>
          <w:sz w:val="24"/>
        </w:rPr>
        <w:t xml:space="preserve">pharmacokinetics and </w:t>
      </w:r>
      <w:r w:rsidRPr="006C7DD3">
        <w:rPr>
          <w:snapToGrid w:val="0"/>
          <w:sz w:val="24"/>
        </w:rPr>
        <w:t>tissue distribution in Wistar rats</w:t>
      </w:r>
      <w:bookmarkEnd w:id="0"/>
      <w:r w:rsidRPr="006C7DD3">
        <w:rPr>
          <w:snapToGrid w:val="0"/>
          <w:sz w:val="24"/>
        </w:rPr>
        <w:t>.</w:t>
      </w:r>
    </w:p>
    <w:p w:rsidR="00671B1D" w:rsidRPr="006C7DD3" w:rsidRDefault="00671B1D" w:rsidP="00671B1D">
      <w:pPr>
        <w:spacing w:line="360" w:lineRule="auto"/>
        <w:rPr>
          <w:snapToGrid w:val="0"/>
          <w:sz w:val="24"/>
        </w:rPr>
      </w:pPr>
      <w:r w:rsidRPr="006C7DD3">
        <w:rPr>
          <w:b/>
          <w:snapToGrid w:val="0"/>
          <w:color w:val="000000"/>
          <w:sz w:val="24"/>
        </w:rPr>
        <w:t>[Key words]</w:t>
      </w:r>
      <w:r w:rsidRPr="006C7DD3">
        <w:rPr>
          <w:snapToGrid w:val="0"/>
          <w:color w:val="000000"/>
          <w:sz w:val="24"/>
        </w:rPr>
        <w:t xml:space="preserve"> FGFC1; pharmacokinetics; </w:t>
      </w:r>
      <w:r w:rsidRPr="006C7DD3">
        <w:rPr>
          <w:snapToGrid w:val="0"/>
          <w:sz w:val="24"/>
        </w:rPr>
        <w:t>Tissue distribution; HPLC</w:t>
      </w:r>
    </w:p>
    <w:p w:rsidR="00671B1D" w:rsidRPr="006C7DD3" w:rsidRDefault="00671B1D" w:rsidP="00671B1D">
      <w:pPr>
        <w:spacing w:line="360" w:lineRule="auto"/>
        <w:rPr>
          <w:b/>
          <w:snapToGrid w:val="0"/>
          <w:color w:val="000000"/>
          <w:sz w:val="24"/>
        </w:rPr>
      </w:pPr>
      <w:r w:rsidRPr="006C7DD3">
        <w:rPr>
          <w:b/>
          <w:snapToGrid w:val="0"/>
          <w:color w:val="000000"/>
          <w:sz w:val="24"/>
        </w:rPr>
        <w:t>[Graphical Abstract]</w:t>
      </w:r>
    </w:p>
    <w:p w:rsidR="00671B1D" w:rsidRPr="006C7DD3" w:rsidRDefault="00671B1D" w:rsidP="00671B1D">
      <w:pPr>
        <w:spacing w:line="360" w:lineRule="auto"/>
        <w:jc w:val="center"/>
        <w:rPr>
          <w:b/>
          <w:szCs w:val="21"/>
        </w:rPr>
      </w:pPr>
      <w:r w:rsidRPr="006C7DD3">
        <w:rPr>
          <w:b/>
          <w:noProof/>
          <w:szCs w:val="21"/>
        </w:rPr>
        <w:drawing>
          <wp:anchor distT="0" distB="0" distL="114300" distR="114300" simplePos="0" relativeHeight="251659264" behindDoc="0" locked="0" layoutInCell="1" allowOverlap="1" wp14:anchorId="723F440E" wp14:editId="0022C93F">
            <wp:simplePos x="0" y="0"/>
            <wp:positionH relativeFrom="column">
              <wp:posOffset>918366</wp:posOffset>
            </wp:positionH>
            <wp:positionV relativeFrom="paragraph">
              <wp:posOffset>96572</wp:posOffset>
            </wp:positionV>
            <wp:extent cx="4687570" cy="1787745"/>
            <wp:effectExtent l="0" t="0" r="0" b="3175"/>
            <wp:wrapTopAndBottom/>
            <wp:docPr id="12181852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7570" cy="1787745"/>
                    </a:xfrm>
                    <a:prstGeom prst="rect">
                      <a:avLst/>
                    </a:prstGeom>
                    <a:noFill/>
                    <a:ln>
                      <a:noFill/>
                    </a:ln>
                  </pic:spPr>
                </pic:pic>
              </a:graphicData>
            </a:graphic>
          </wp:anchor>
        </w:drawing>
      </w:r>
      <w:r w:rsidRPr="006C7DD3">
        <w:rPr>
          <w:b/>
          <w:szCs w:val="21"/>
        </w:rPr>
        <w:t>FGFC1 pharmacokinetics and tissue distribution in Wistar rats</w:t>
      </w:r>
    </w:p>
    <w:p w:rsidR="007172B1" w:rsidRPr="00671B1D" w:rsidRDefault="007172B1">
      <w:pPr>
        <w:rPr>
          <w:rFonts w:hint="eastAsia"/>
        </w:rPr>
      </w:pPr>
    </w:p>
    <w:sectPr w:rsidR="007172B1" w:rsidRPr="00671B1D" w:rsidSect="00671B1D">
      <w:headerReference w:type="default" r:id="rId6"/>
      <w:pgSz w:w="11906" w:h="16838"/>
      <w:pgMar w:top="1134" w:right="1134" w:bottom="1134" w:left="1134" w:header="680" w:footer="90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1D"/>
    <w:rsid w:val="0008666A"/>
    <w:rsid w:val="00662F5E"/>
    <w:rsid w:val="00671B1D"/>
    <w:rsid w:val="0071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4B0BA-4CF8-4121-ADB0-BBB2A979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B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1B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71B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Wang</dc:creator>
  <cp:keywords/>
  <dc:description/>
  <cp:lastModifiedBy>Ellen Wang</cp:lastModifiedBy>
  <cp:revision>1</cp:revision>
  <dcterms:created xsi:type="dcterms:W3CDTF">2024-07-18T04:03:00Z</dcterms:created>
  <dcterms:modified xsi:type="dcterms:W3CDTF">2024-07-18T04:04:00Z</dcterms:modified>
</cp:coreProperties>
</file>